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A07" w:rsidRPr="001958AD" w:rsidRDefault="00770A07" w:rsidP="001958AD">
      <w:pPr>
        <w:pStyle w:val="GlAlnt"/>
        <w:jc w:val="center"/>
        <w:rPr>
          <w:b w:val="0"/>
          <w:bCs w:val="0"/>
          <w:i w:val="0"/>
          <w:iCs w:val="0"/>
          <w:sz w:val="32"/>
          <w:szCs w:val="32"/>
          <w:lang w:val="tr-TR" w:eastAsia="tr-TR"/>
        </w:rPr>
      </w:pPr>
      <w:r w:rsidRPr="001958AD">
        <w:rPr>
          <w:b w:val="0"/>
          <w:bCs w:val="0"/>
          <w:i w:val="0"/>
          <w:iCs w:val="0"/>
          <w:sz w:val="32"/>
          <w:szCs w:val="32"/>
          <w:lang w:val="tr-TR" w:eastAsia="tr-TR"/>
        </w:rPr>
        <w:t>RİYA, ŞÖHRET VE TEVECCÜH-Ü NAS’I TERK ETMEK ESASI</w:t>
      </w:r>
      <w:r w:rsidR="00A30635" w:rsidRPr="001958AD">
        <w:rPr>
          <w:b w:val="0"/>
          <w:bCs w:val="0"/>
          <w:i w:val="0"/>
          <w:iCs w:val="0"/>
          <w:sz w:val="32"/>
          <w:szCs w:val="32"/>
          <w:lang w:val="tr-TR" w:eastAsia="tr-TR"/>
        </w:rPr>
        <w:fldChar w:fldCharType="begin"/>
      </w:r>
      <w:r w:rsidRPr="001958AD">
        <w:rPr>
          <w:b w:val="0"/>
          <w:bCs w:val="0"/>
          <w:i w:val="0"/>
          <w:iCs w:val="0"/>
          <w:sz w:val="32"/>
          <w:szCs w:val="32"/>
          <w:lang w:val="tr-TR" w:eastAsia="tr-TR"/>
        </w:rPr>
        <w:instrText xml:space="preserve"> TC  "17-R‹YA, ﬁÖHRET VE TEVECCÜH-Ü NAS G‹B‹  ZARARLI H‹SS‹YATLARI TERK ETMEK DÜSTURU" \l 1 </w:instrText>
      </w:r>
      <w:r w:rsidR="00A30635" w:rsidRPr="001958AD">
        <w:rPr>
          <w:b w:val="0"/>
          <w:bCs w:val="0"/>
          <w:i w:val="0"/>
          <w:iCs w:val="0"/>
          <w:sz w:val="32"/>
          <w:szCs w:val="32"/>
          <w:lang w:val="tr-TR" w:eastAsia="tr-TR"/>
        </w:rPr>
        <w:fldChar w:fldCharType="end"/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Bediüzzaman Hazretleri kendini misal alarak umuma ders olacak irşa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dında diyor ki:</w:t>
      </w:r>
    </w:p>
    <w:p w:rsidR="00770A07" w:rsidRPr="001958AD" w:rsidRDefault="00770A07" w:rsidP="001958AD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FF0000"/>
          <w:sz w:val="28"/>
          <w:szCs w:val="28"/>
          <w:highlight w:val="white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1-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«Sen, ey riyakâr nefsim! “Dine hizmet ettim” diye gurur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lanma. </w:t>
      </w:r>
      <w:r w:rsidRPr="001958AD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Pr="001958AD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id="1"/>
      </w:r>
      <w:r w:rsidRPr="001958AD">
        <w:rPr>
          <w:rFonts w:eastAsia="Times New Roman" w:cstheme="minorHAnsi"/>
          <w:position w:val="6"/>
          <w:sz w:val="24"/>
          <w:szCs w:val="24"/>
          <w:lang w:val="tr-TR" w:eastAsia="tr-TR"/>
        </w:rPr>
        <w:t>)</w:t>
      </w:r>
      <w:r w:rsidR="00603CCF" w:rsidRPr="001958AD">
        <w:rPr>
          <w:rFonts w:cstheme="minorHAnsi"/>
          <w:color w:val="FF0000"/>
          <w:sz w:val="28"/>
          <w:szCs w:val="28"/>
          <w:highlight w:val="white"/>
          <w:rtl/>
        </w:rPr>
        <w:t>اِنَّ اللّهَ لَيُؤَيِّدُ هذَا الدِّينَ بِالرَّجُلِ الْفَاجِرِ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sırrınca, mü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zekkâ olmadığın için, belki sen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kendini o recül-ü fâcir bilmelisin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. Hizmetini, ubudiye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tini, geçen ni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met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lerin şükrü ve vazife-i fıtrat ve farize-i hil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kat ve netice-i san’at bil, ucüb ve riyadan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instrText xml:space="preserve"> "ucüb ve riyadan"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kurtul.» (Sözler sh: 473) 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2-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«Bir müdür sebebsiz, gıyabımda tezyifkârâne, ha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karetli sözler söy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lemişti. Sonra bana söylediler. Bir saat kadar Eski Said damarıyla mütees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sir oldum. Sonra, Cenâb-ı Hakkın rahmetiyle şöyle bir hakikat kalbe geldi, sıkıntıyı izale edip o adamı da bana he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lâl ettirdi. O ha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kikat şudur: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sz w:val="24"/>
          <w:szCs w:val="24"/>
          <w:lang w:val="tr-TR" w:eastAsia="tr-TR"/>
        </w:rPr>
        <w:t>Nefsime dedim: Eğer onun tahkiri ve beyan et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tiği kusurlar şahsıma ve nefsime ait ise, Allah ondan razı olsun ki, benim nef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simin ayıplarını söyler. Eğer doğru söyle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mişse, beni nefsimin terbi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yesine sevk eder ve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gu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rurdan beni kurtarmaya yardımdır. Eğer ya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lan söylemişse, beni riya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dan ve riyanın esası olan şöhret-i kâzibe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"riyadan ve riyan›n esas› olan ﬂöhret-i kâzibe"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den kurtar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maya yardım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dır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. Evet, ben nef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simle musalâha etmemi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şim.» (Mektubat sh: 64)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3-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«Eğer imana ve Kur’ân’a hizmetkârlığım cihe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tiyle ehl-i dünya beni tazyik ediyorsa, onun müdafaası bana ait değil. Onu, Azîz-i Cebbâra ha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vale ediyorum.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sz w:val="24"/>
          <w:szCs w:val="24"/>
          <w:lang w:val="tr-TR" w:eastAsia="tr-TR"/>
        </w:rPr>
        <w:t>Eğer asılsız ve riyaya sebeb ve ihlâsı kıracak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instrText xml:space="preserve"> "riyaya sebep ve ihlâs› k›racak"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bir şöh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ret-i kâzi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beyi kır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mak 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instrText xml:space="preserve"> "ﬂöh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instrText>ret-i kâzi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beyi k›rmak 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için teveccüh-ü âmmeyi hak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kımda bozmak murad ise, onlara rahmet! Çünkü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te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vec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cüh-ü âmmeye mazhar olmak ve halkların na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za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rında şöh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ret kazanmak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"ﬂöhret kazanmak"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, benim gibi adam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lara zarardır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zannederim. Benimle te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mas edenler beni bi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lirler ki, şahsıma karşı hür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met istemiyo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rum, belki nef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ret ediyorum. Hattâ kıymettar mühim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bir dostumu, fazla hürmeti için belki elli defa tek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dir etmi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şim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.» (Mektubat sh: 65)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Ehl-i dalâletin müslümanları kendilerine çekme planı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nın teh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likesine karşı bir ikaz: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 xml:space="preserve">4- 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«İnsanda, ekseriyet itibarıyla,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hubb-u câh de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nilen hırs-ı şöhret ve hodfuruşluk ve şan ve şe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ref denilen riyâ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kâ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râne halklara görünmek</w: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"riyâ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kâ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râne halklara görünmek" </w:instrTex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 xml:space="preserve"> ve nazar-ı âmmede mevki sa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hibi olmaya, ehl-i dünyanın her ferdinde cüz’î, küllî arzu vardır.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Hattâ o arzu için hayatını feda eder derecesinde şöhret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pe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restlik hissi onu sevk eder.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Ehl-i âhiret için bu his gayet tehlikelidir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. Ehl-i dünya için de gayet dağdağalıdır, çok ahlâk-ı sey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yi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enin de menşeidir ve insanların da en zayıf damarı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dır. Yani, bir in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sanı yakalamak ve kendine çekmek, onun o hissini okşa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makla kendine bağlar, hem onunla onu mağlûp eder.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Kardeşlerim hakkında en ziyade korktuğum, bunların bu zayıf damarından ehl-i ilhâdın istifade etmek ihti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malidir. Bu hal beni çok düşündürüyor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. Ha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kikî olmayan bazı biçare dost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larımı o suretle çektiler, mânen on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ları teh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keye attı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lar.» (Mektubat sh: 412)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5-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«Hâlık-ı Rahîmime yüz binler şükrolsun ki, ken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dimi ken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dime be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ğendirmemiş. Nefsimin 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lastRenderedPageBreak/>
        <w:t>ayıplarını ve ku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surlarını bana gös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termiş. Ve o nefs-i emmâreyi başkalara beğendirmek arzusu kal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mamış.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Kabir kapı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sında bekle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yen bir adam, arkasındaki fâni dün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yaya riyakârâne bakması, acınacak bir hamakat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tir ve dehşetli bir hasâret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tir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.» (Mektubat sh: 465)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Ehl-i dalâletin galebesinin sebebi: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6-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«İnsanın mahiyetinde muzır madenler hük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münde bulu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nan fena isti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datları işlettirmekten ve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şan ve şeref na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mıyla</w: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"ﬂan ve ﬂeref na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m›yla" </w:instrTex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, ri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yâkârâne nefsin firavuniye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tini okşamak</w: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yâkârâne nefsin firavuniye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tini okﬂamak" </w:instrTex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tan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ve vicdansızca tahribatlarından herkes korkma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sından geli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yor. Ve o misilli şeytanî desi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seler vasıtasıyla muvak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katen ehl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noBreakHyphen/>
        <w:t>i hakka galebe eder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ler.» (Lem’alar sh: 86)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7-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«Dalâlette, iktidarsızlar muktedir görünmeleri ve ehemmi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yetsizler şöhret kazanmaları içindir ki,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hod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furuş, şöhretperest, riyâkâr insanlar</w: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"ﬂöhretperest, riyâkâr insanlar" </w:instrTex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 xml:space="preserve"> ve az bir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şeyle iktidarlarını göstermek ve ihâfe ve ızrar cihetinden bir mevki ka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zanmak için ehl-i hakka muhalefet vaziyetine girerler.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Tâ gö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rün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sün ve nazar-ı dikkat ona celb olunsun. Ve ikti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dar ve kud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retle değil, belki terk ve atâletle sebebiyet ver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diği tahribat ona isnad edilip ondan bah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sedil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sin. Nasıl ki böyle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şöh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ret divanelerinden birisi</w: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"ﬂöh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ret divanelerinden birisi" </w:instrTex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 xml:space="preserve"> namazgâhı tel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vis et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miş, tâ herkes ondan bahsetsin. Hattâ ondan lâ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netle de bahse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dilmiş de, şöhretperest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lik da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marı</w: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"ﬂöhretperest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lik da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mar›" </w:instrTex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 xml:space="preserve"> kendi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sine bu lâ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netli şöhreti hoş gös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termiş diye darb</w:t>
      </w:r>
      <w:r w:rsidR="001958AD">
        <w:rPr>
          <w:rFonts w:eastAsia="Times New Roman" w:cstheme="minorHAnsi"/>
          <w:b/>
          <w:sz w:val="24"/>
          <w:szCs w:val="24"/>
          <w:lang w:val="tr-TR" w:eastAsia="tr-TR"/>
        </w:rPr>
        <w:t>-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ı</w:t>
      </w:r>
      <w:r w:rsidR="001958AD">
        <w:rPr>
          <w:rFonts w:eastAsia="Times New Roman" w:cstheme="minorHAnsi"/>
          <w:b/>
          <w:sz w:val="24"/>
          <w:szCs w:val="24"/>
          <w:lang w:val="tr-TR" w:eastAsia="tr-TR"/>
        </w:rPr>
        <w:t xml:space="preserve">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mesel ol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muş.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» (Lem’alar sh: 86)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8-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«Kanaat vasıtasıyla insanlardan istiğnâ etmek ci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hetinde,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tevec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cühle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rini aramaz</w: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"teveccühlerini aramaz" </w:instrTex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. İhlâs kapısı açılır, riyâ kapısı kapanır.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» (Lem’alar sh: 146)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Teveccüh-ü nasdan kaçmak</w: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"Teveccüh-u nasdan kaçmak" </w:instrTex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: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9-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Teveccüh-ü nâs istenilmez</w: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"Teveccüh-ü nâs istenilmez" </w:instrTex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, belki veri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lir. Verilse de onunla hoş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lanılmaz. Hoşlansa ihlâsı kaybeder, riyâya girer</w: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"riyâya girer" </w:instrTex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 xml:space="preserve">. 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Şan ü şeref ar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zusu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instrText xml:space="preserve"> "ﬁan ve ﬂeref ar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zusu"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yla teveccüh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noBreakHyphen/>
        <w:t>ü nâs ise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instrText xml:space="preserve"> "teveccüh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noBreakHyphen/>
        <w:instrText xml:space="preserve">ü nâs ise"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, ücret ve mükâfat değil, belki ihlâs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sızlık yüzün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den gelen bir itab ve bir mücazattır. Evet, amel-i salihin hayatı olan ihlâsın za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rarına tevec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cüh-ü nâs ve şan ü şeref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instrText xml:space="preserve"> "tevec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cüh-ü nâs ve ﬂan ve ﬂeref"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, kabir kapısına kadar muvak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kat olan bir lezzet-i cüz’i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yeye mukabil, kabrin öbür tara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fında azâb-ı kabir gibi nâhoş bir şekil aldığından,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te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veccüh-ü nâsı arzu</w: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"te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veccüh-ü nâs› arzu" </w:instrTex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 xml:space="preserve"> etmek de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ğil, belki on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dan ürkmek ve kaçmak lâzımdır.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Şöhretperestlerin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instrText xml:space="preserve"> "ﬁöhretperestlerin"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ve şan ü şeref pe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şinde koşanların kulakları çınlasın!» (Lem’alar sh: 149)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10-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«Ehl-i hidayeti, ulüvv-ü himmetten sû-i isti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male ve dola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yısıyla ih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tilâfa ve rekabete sevk eden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instrText xml:space="preserve"> "rekabete sevk eden"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, âhi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ret nokta-i nazarında bir haslet-i memdûha sayılan hırs-ı sevab ve vazife-i uhreviyede kana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atsizlik cihe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tinden ileri geli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yor. Yani, “Bu sevabı ben kazanayım, bu insanları ben irşad edeyim, benim sözümü dinlesinler” diye, kar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şı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sındaki hakikî kar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deşi ve cidden muhabbet ve muave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netine ve uhuvvetine ve yardımına muhtaç bir zâta karşı rekabet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kârâne va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ziyet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instrText xml:space="preserve"> "rekabet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instrText>kârâne va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ziyet"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alır. “Şakirdlerim niçin onun ya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nına gidi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yorlar? Niçin onun kadar şakird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lerim bulun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muyor?” diye, enâniyeti oradan fırsat bu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lup,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mezmûm bir haslet olan hubb-u câha tema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yül ettirir, ih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lâsı kaçırır, riyâ kapısını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"riyâ kap›s›n›"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 xml:space="preserve"> açar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.» (Lem’alar sh: 151)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11-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1958AD">
        <w:rPr>
          <w:rFonts w:eastAsia="Times New Roman" w:cstheme="minorHAnsi"/>
          <w:sz w:val="24"/>
          <w:szCs w:val="24"/>
          <w:u w:val="single"/>
          <w:lang w:val="tr-TR" w:eastAsia="tr-TR"/>
        </w:rPr>
        <w:t>İHLÂSI KIRAN İKİNCİ MÂNİ: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Hubb-u câh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tan gelen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şöhret-perestlik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saikasıyla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"ﬂöhretperestlik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instrText xml:space="preserve"> saikas›yla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ve şan ü şeref per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desi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instrText xml:space="preserve"> "ﬂan ve ﬂeref per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desi"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al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tında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tevec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cüh-ü âm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meyi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"tevec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cüh-ü âmmeyi"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 xml:space="preserve"> kazanmak, nazar-ı dikkati ken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dine celb etmekle enâniyeti okşa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mak ve nefs-i emmâ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reye bir ma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kam ver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mektir ki, en mühim bir ma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raz-ı ruhî olduğu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gibi, “şirk-i hafî” tabir edilen riyâkârlığa, hodfu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ruşluğa kapı açar, ihlâsı zedeler.» (Lem’alar sh: 165)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Bediüzzaman Hazretlerinin hayat tecrübesinden na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zara verdiği bir ikaz: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12-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«Kendi kendimi aldatmak ve yine başımı gaf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lete sokmak için, İs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tanbul’da haddimden çok fazla gör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düğüm makam-ı içtima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înin ezvâkına baktım, hiçbir faydası ol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madı. Bütün onların tevec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cühü, iltifatı, tesel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leri, yakı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nımda olan kabir kapısına kadar gele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bilir, orada söner. Ve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şöhretperestlerin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"ﬂöhretperestlerin"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 xml:space="preserve"> bir gaye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noBreakHyphen/>
        <w:t>i hayali olan şan ve şerefin süslü perdesi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"ﬂan ve ﬂerefin süslü perdesi"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 xml:space="preserve"> al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tında sakîl bir riyâ, soğuk bir hodfuruş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luk, muvakkat bir sersem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lik suretinde gör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düğümden, anladım ki, beni şimdiye kadar aldatan bu iş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ler, hiçbir te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selli veremez ve onlarda hiçbir nur yok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.» (Lem’alar sh: 231)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13- Kendini beğenen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«Kusuru  nefsine almaz belki avukat gibi kendini müdafaa ve tebrie eyler. Mübalâğalarla, belki yalanlarla nefsini medih ve</w:t>
      </w:r>
      <w:r w:rsidR="001958AD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tenzih ederek, adeta takdis eder ve derecesine göre, </w:t>
      </w:r>
      <w:r w:rsidRPr="001958AD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Pr="001958AD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id="2"/>
      </w:r>
      <w:r w:rsidRPr="001958AD">
        <w:rPr>
          <w:rFonts w:eastAsia="Times New Roman" w:cstheme="minorHAnsi"/>
          <w:position w:val="6"/>
          <w:sz w:val="24"/>
          <w:szCs w:val="24"/>
          <w:lang w:val="tr-TR" w:eastAsia="tr-TR"/>
        </w:rPr>
        <w:t>)</w:t>
      </w:r>
      <w:r w:rsidR="00603CCF" w:rsidRPr="001958AD">
        <w:rPr>
          <w:rFonts w:cstheme="minorHAnsi"/>
          <w:color w:val="FF0000"/>
          <w:sz w:val="28"/>
          <w:szCs w:val="28"/>
          <w:highlight w:val="white"/>
          <w:rtl/>
        </w:rPr>
        <w:t>مَنِ اتَّخَذَ اِلهَهُ هَوَيهُ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âyetinin bir tokadını yer.</w:t>
      </w:r>
    </w:p>
    <w:p w:rsid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Temeddühü ve sevdirmesi ise, aksülâ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melle istiskali celb eder, so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ğuk düşürtür. Hem amel-i uhrevîde ihlâsı kaybeder, riyâyı karıştı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.» (Lem’alar sh: 275)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14-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«Ey şan ve şerefi, nam ve şöhreti isteyen adam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instrText xml:space="preserve"> "ﬂöhreti isteyen adam"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! Gel, o dersi ben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den al.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Şöhret ayn-ı riyâdır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"ﬁöhret ayn-› riyâd›r"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 xml:space="preserve"> ve kalbi öldü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ren zehirli bir baldır. Ve in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sanı in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sanlara abd ve köle ya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par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. O belâ ve musibete dü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şer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sen,</w:t>
      </w:r>
      <w:r w:rsidRPr="001958AD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Pr="001958AD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id="3"/>
      </w:r>
      <w:r w:rsidRPr="001958AD">
        <w:rPr>
          <w:rFonts w:eastAsia="Times New Roman" w:cstheme="minorHAnsi"/>
          <w:position w:val="6"/>
          <w:sz w:val="24"/>
          <w:szCs w:val="24"/>
          <w:lang w:val="tr-TR" w:eastAsia="tr-TR"/>
        </w:rPr>
        <w:t>)</w:t>
      </w:r>
      <w:r w:rsidR="00603CCF" w:rsidRPr="001958AD">
        <w:rPr>
          <w:rFonts w:cstheme="minorHAnsi"/>
          <w:color w:val="FF0000"/>
          <w:sz w:val="28"/>
          <w:szCs w:val="28"/>
          <w:highlight w:val="white"/>
          <w:rtl/>
        </w:rPr>
        <w:t>اِنَّا لِلّٰهِ وَاِنَّا اِلَيْهِ رَاجِعُونَ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de, o belâdan kurtul.» (Mesnevî–i Nuriye sh: 83)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Riyakârlığı şeref gösteren mimsiz medeniyet: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15-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«Fısk çamuruyla mülevves olan medeniyet, in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sanları da o çamurla telvis ediyor. Ezcümle: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Riyâyı şan ve şeref ile iltibas etmiş. İnsanları da o pis ahlâka sevk edi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yor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. Hakikaten in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sanlar o riyâya öyle alışmışlar ki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instrText xml:space="preserve"> "riyâya öyle al›ﬂm›ﬂlar ki"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, şahıs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lara yaptıkları gibi, millet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lere, hattâ unsurlara bile yapıyor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lar. Ga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zete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leri o riyâya del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lâl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instrText xml:space="preserve"> "Gazeteleri o riyâya del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lâl"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, ta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rihleri de alkışçı yapmış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lardır. Bu yüzden şahsî hayat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lar “hamiyet-i cahiliye” ün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vanı altında unsurî ha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yatlara fedâ edil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mektedir.» (Mesnevî–i Nuriye sh: 188)</w:t>
      </w:r>
    </w:p>
    <w:p w:rsid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16-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«Ey örf-ü nâsta şan u şeref namıyla müsemma olan şöh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reti isteyen adam! Gel bu mes'eleyi benden öğ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ren. Zira ben, kat'iy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yen gördüm ki,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şöh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ret ayn-ı riya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dır 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"ﬂöhret ayn-› riya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d›r 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ve kalbin ölümü demek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tir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. Öyle ise aman  ona  talib  olma  ki,  insanlara  abd  ve  köle  olmaya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sın.  Eğer sana</w:t>
      </w:r>
      <w:r w:rsidR="001958AD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verilmişse yani içine düşmüş isen </w:t>
      </w:r>
      <w:r w:rsidRPr="001958AD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Pr="001958AD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id="4"/>
      </w:r>
      <w:r w:rsidRPr="001958AD">
        <w:rPr>
          <w:rFonts w:eastAsia="Times New Roman" w:cstheme="minorHAnsi"/>
          <w:position w:val="6"/>
          <w:sz w:val="24"/>
          <w:szCs w:val="24"/>
          <w:lang w:val="tr-TR" w:eastAsia="tr-TR"/>
        </w:rPr>
        <w:t>)</w:t>
      </w:r>
      <w:r w:rsidR="00603CCF" w:rsidRPr="001958AD">
        <w:rPr>
          <w:rFonts w:cstheme="minorHAnsi"/>
          <w:color w:val="FF0000"/>
          <w:sz w:val="28"/>
          <w:szCs w:val="28"/>
          <w:highlight w:val="white"/>
          <w:rtl/>
        </w:rPr>
        <w:t>اِنَّا لِلّٰهِ وَاِنَّا اِلَيْهِ رَاجِعُونَ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söyle.»(Mesnevî–i Nuriye sh: 181, Ter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cüme A. Badıllı)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17-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«Ehl-i medeniyetin terakki diye zu'mettikleri şey, ancak bir sukut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tur. Ve iktidar diye zannettikleri iş, ancak bir ibtizaldir, bayağılıktır ve inti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bah diye dem vurdukları emir, ancak nevm-i gaf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lette bir batmaktır. Ve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nezaket dedikleri mes'ele, nifakî bir riya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"nifakî bir riya"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dır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. Ve zekâvet diye gu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rurlan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dık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ları keyfiyet, ancak şeytanî desiselerdir. Ve insa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niyet diye tahmin et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tikleri şey, an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cak insani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yetin hayvani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yete bir inkılabıdır.» (Mesnevî–i Nu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riye sh: 210, Tercüme A. Badıllı)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18-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«Cahiliyet devrinin menhus bir yadigârı olan un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suriyet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perverlik ta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assubunun izahı ve iç yüzü şöyle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dir ki: Birbirine tesa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nüd ile katılaşan bir gaflet ve birbi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riyle yar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dımlaşarak cevablaşan bir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riya ve bir zu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lüm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den ibarettir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. Evet bu gaflet, riya ve zul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mün be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lasıdır ki un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suriyet ve milliyeti ırkçılara mabud haline ge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tirmiştir. El'iyazübillah.» (Mesnevî–i Nu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riye sh: 248, Tercüme A. Badıllı)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19-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«Şu fâsık medeniyet, öyle müdhiş bir riya mey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dana ge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tirmiştir ki, medeniyetçilerin o riyadan kur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tul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ma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ları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instrText xml:space="preserve"> "riyadan kur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instrText>tul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instrText>ma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lar›"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çok müşkil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leşmiştir. Çünki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medeni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 ri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yaya şan ü şe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ref ismi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yaya ﬂan ü ﬂe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ref ismi"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ni tak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mıştır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.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sz w:val="24"/>
          <w:szCs w:val="24"/>
          <w:lang w:val="tr-TR" w:eastAsia="tr-TR"/>
        </w:rPr>
        <w:t>Evet medeniyetin bu riyası, adamı şahıslara dal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ka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vukluk ya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pıp müraî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lik ettirdiği gibi, milletler ve un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sur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lara riyakâr ve tasni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atçı kılmıştır.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Gaze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teleri de, o riya ve mü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raîliğe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"Gazeteleri de, o riya ve mü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raîli¤e"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 xml:space="preserve"> dellâllar haline sokmuş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, ta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rihi ise ona teşrifatçı ve alkışçı yapmıştır. Hem gaddar ve zalim hamiyet-i cahili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yenin desisesiyle mütemerrid olan unsuriyet-perverliğin hayatı içinde, şahsın mev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tini ona unuttur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muştur.» (Mesnevî–i Nuriye sh: 412, Tercüme A. Badıllı)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20-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«Ya benim Rabbim ruz-u mahşerde dese ki: “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Şu riya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kârı nîrana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"riya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kâr› nîrana"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 xml:space="preserve"> sevkediniz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!.” Ne yaparım?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sz w:val="24"/>
          <w:szCs w:val="24"/>
          <w:lang w:val="tr-TR" w:eastAsia="tr-TR"/>
        </w:rPr>
        <w:t>İlahî! Senin bab-ı rahmetinden başka bir melce', bir kapı yoktur.» (Mes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nevî–i Nuriye sh: 420, Tercüme A. Badıllı)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Riya-yı kelâmî: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21-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«Nefsimin hakikatta günah ve hatalı şeylerini mehasin zannede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rek, onunla tasannukârane ferahlana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cak kıymettar bir malı olmadığı gibi,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baş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kasının ena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niyetle tekeddür etmiş ne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fislerine de bir kıy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met ver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miyorum. Tâ ki onlara riya-yı ke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lâmî ile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"riya-y› ke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lâmî ile"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 xml:space="preserve"> tasannu ve ubudiyetkâ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rane tekellüf ya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pa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yım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.» (Mesnevî–i Nuriye sh: 424, Tercüme A. Badıllı)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22-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«Ey kardeş bil ki! Hasenatın hayatı niyet ile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dir. (Yani li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vechillah olan niyet iledir.) Onların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fesadı ise ucb, riya ve gös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teriş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"riya ve gös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teriﬂ"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 xml:space="preserve"> iledir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.» (Mes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nevî–i Nuriye sh: 443, Tercüme A. Badıllı)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23-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Gölgeli, gölgesiz suretler, ya bir zulm-ü mü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te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haccir veya bir riyâ-yı mütecessid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"riyâ-y› mütecessid"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veya bir heves-i müteces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simdir ki, beşeri zulme ve riyâ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ya ve he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vâya, he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vesi kamçılayıp teş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vik eder.» (Sözler sh: 410)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24-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«Ey sapık mağrur, daha sana ittiba nasıl caiz olabilir? Hem senin meşrebini ihtiyar eden, ancak şa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rab-ı siyaset veyahut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hırs-ı şöhret veya ri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yakârlık iştihası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"riyakârl›k iﬂtihas›"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, ya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hut rikkat-i cinsiye veya felsefenin zındık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lığı veya sefahet-i medeniyet veya bunlara benzer şey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lerle sarhoş bulunması lâzım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dır.» (Mesnevî–i Nuriye sh: 493, Tercüme A. Badıllı)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Hayrı şerre çeviren riya: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bookmarkStart w:id="0" w:name="_GoBack"/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25-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«Rabian: Hayır, o vakit hayır olur ki Allah için ola… Eğer Allah için olsa, o vakit kat’î Onun izniy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ledir. Tevfik Onundur. Minnet Onadır. Senin hak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kın, şükürdür, fahir değildir. Çünkü fa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hir, irae, ya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ni gösteriş ve riya iledir.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Riya ise, hayrı şer eder. Şerle iftihar edersen et!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İşte bu ha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kikati bilmedi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ğindendir ki, nefsinden mağrur, gayrıya da gu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rurlu oldun.» (Nur’un İlk Kapısı sh: 45)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Hizmet-i diniye istiğna ile yapılabilir: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26-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«Dünyaya tenezzül etmez, tamah ve zillete düş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mez, haki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kat muka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bilinde dünya malını almaz, ta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sannua mecbur olmaz bir üstaddan alınan ders-i haki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kat elmas kıymetinde ise, sadaka al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maya mecbur olmuş, ehl-i ser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vete tasannua muztar kalmış, tamah zilletiyle izzet-i ilmini feda etmiş,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sadaka verenlere hoş gö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rünmek için riyakâr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lığa temayül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"riyakâr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l›¤a temayül"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 xml:space="preserve"> et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miş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, âhiret meyvelerini dünyada yemeye cevaz göstermiş bir üstad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dan alınan aynı ders-i hakikat, elmas derecesinden şişe derecesine iner.» (Barla Lâhikası sh: 123)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Tenkidlere maruz kalmak, riyadan kurtulmaya ve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sile olur: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27-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«Süleyman’da sadakatle beraber esaslı bir ihlâs gördüm. Evet, bu günlerde insafsız insanlar, onun şeref ve haysiyetini kıra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cak derecede, hak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kında işâalar izhar ettik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leri zaman, ona tesellî nevinden dedim ki: “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Sana bu su-i şöhreti takmakla riyadan kurtulursun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"riyadan kurtulursun"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.” O da kemâl-i sü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rur ve ciddî bir surette o teselliyi kabul etti.» (Barla Lâhikası sh: 200)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Riya sayılmayan hususlar ve riyakârlık sebebleri: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28-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«Bu yakında hem Isparta’da, hem bu havalide Risale-i Nur’un İhlâs Lem’aları intişara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instrText xml:space="preserve"> "‹hlâs Lem’alar› intiﬂara"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başladığı mü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na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se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betiyle ve bir iki küçük hadise cihe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tiyle şiddetli bir ihtar kalbe geldi. Riyaya dair Üç Nokta yazılacak.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Birincisi: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Farz ve vaciblerde ve şeâir-i İslâmiyede</w: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"ﬂeâir-i ‹slâmiyede" </w:instrTex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 xml:space="preserve"> ve sünnet-i seniyenin ittibâında ve haramların terkinde riya giremez</w: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"riya giremez" </w:instrTex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 xml:space="preserve">. İzharı, riya olamaz </w: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"riya olamaz" </w:instrTex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–meğer, gayet za’f-ı imanla beraber, fıt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raten riyakâr ola</w: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"riyakâr ola" </w:instrTex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.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Belki, şeâir-i İslâmiyeye te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mas eden ibadetlerin izharları, ihfâsından çok derece daha sevablı ol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duğunu, Hüccetü’l-İslâm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instrText xml:space="preserve"> "Hüccetü’l-‹slâm"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İmam-ı Gazâlî 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instrText xml:space="preserve"> "‹mam-› Gazâlî 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(R.A.) gibi zat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lar beyan ediyorlar. Sâir nevafilin ihfası çok sevablı ol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duğu halde,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şeaire temas eden, hususan böyle bi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d’alar zamanında</w: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"bi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d’alar zaman›nda" </w:instrTex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 xml:space="preserve"> ittibâ-ı sünne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tin şera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fetini</w: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"ittibâ-› sünnetin ﬂera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fetini" </w:instrTex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 xml:space="preserve"> gösteren ve böyle büyük kebâir içinde, haram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ların ter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kindeki takvâ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yı izhar etmek, değil riya, belki ihfâsından pek çok derece daha sevablı ve hâlistir.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sz w:val="24"/>
          <w:szCs w:val="24"/>
          <w:lang w:val="tr-TR" w:eastAsia="tr-TR"/>
        </w:rPr>
        <w:t>İkinci nokta:</w:t>
      </w:r>
      <w:r w:rsidR="001958AD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Riyaya insanları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instrText xml:space="preserve"> "Riyaya insanlar›"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sevk eden esbabın,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sz w:val="24"/>
          <w:szCs w:val="24"/>
          <w:lang w:val="tr-TR" w:eastAsia="tr-TR"/>
        </w:rPr>
        <w:t>Birincisi: Za’f-ı imandır. Allah’ı düşünmeyen, es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baba perestiş eder, halklara hodfuruşlukla riyakârâne vaziyet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instrText xml:space="preserve"> "riyakârâne vaziyet"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alır. Risale-i Nur şakirdleri, Ri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sa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le-i Nur’dan al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dıkları kuv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vetli iman-ı tahkikî der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siyle esbaba ve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nâsa ubudiyet nok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tasında bir kıymet, bir ehemmiyet vermiyor ki, ubudi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yetlerinde onlara gösterişle riya etsinler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.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sz w:val="24"/>
          <w:szCs w:val="24"/>
          <w:lang w:val="tr-TR" w:eastAsia="tr-TR"/>
        </w:rPr>
        <w:t>İkinci sebeb:</w:t>
      </w:r>
      <w:r w:rsidR="001958AD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Hırs ve tamah, za’f-u fakr noktasında te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veccüh-ü nâsı cel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bine medar riyâkârâne vaziyet al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maya sevk ediyor.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sz w:val="24"/>
          <w:szCs w:val="24"/>
          <w:lang w:val="tr-TR" w:eastAsia="tr-TR"/>
        </w:rPr>
        <w:t>Risale-i Nur’un şakirdleri, iktisad ve kanaat ve te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vek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kül ve kısmetine rıza gibi, Risale-i Nur’un dersin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den aldık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ları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izzet-i imaniye, inşaallah onları ri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ya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dan ve dünya menfaatleri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ya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dan ve dünya menfaatleri"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 xml:space="preserve"> için hodfuruşluk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tan men eder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.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sz w:val="24"/>
          <w:szCs w:val="24"/>
          <w:lang w:val="tr-TR" w:eastAsia="tr-TR"/>
        </w:rPr>
        <w:t>Üçüncü sebeb: Hırs-ı şöhret, hubb-u câh, makam sa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hibi ol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mak, emsa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line tefevvuk etmek gibi hisler ve in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san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lara iyi görün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mek, tasannukârâne (haddinden fazla ken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dine ehemmiyet verdir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mek) ve tekellüfkârâne (lâyık ol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madığı yüksek makamlarda gö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rünmek) tarzını ta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kın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makla riya eder.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sz w:val="24"/>
          <w:szCs w:val="24"/>
          <w:lang w:val="tr-TR" w:eastAsia="tr-TR"/>
        </w:rPr>
        <w:t>Risale-i Nur şakirdleri, ene’yi, nahnü’ye tebdil et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tik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leri, yani enaniyeti bırakıp, Risale-i Nur dairesinin şahs-ı mânevisinin he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sabına ça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lışması, ben yerine biz demeleri ve ehl-i tarikatın fenâ fi’ş-şeyh, fenâ fi’r-resul ve nefs-i emma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reyi öldürmek gibi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 xml:space="preserve">riyadan kurtaran 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"riyadan kurtaran 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vasıtaların bu za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manda bi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risi de fenâ fi’l-ih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van, yani şahsiyetini kardeş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lerinin şahs-ı ma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neviyesi içinde eritip öyle davrandığı için, in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şaallah, ehl-i hakika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tin riyadan kurtulmaları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"riyadan kurtulmalar›"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 xml:space="preserve"> gibi, bu sırla onlar da kurtulur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.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sz w:val="24"/>
          <w:szCs w:val="24"/>
          <w:lang w:val="tr-TR" w:eastAsia="tr-TR"/>
        </w:rPr>
        <w:t>Üçüncü nokta:Vazife-i diniye itibarıyla nâsa hüsn-ü kabul ettirmek, o makamın iktiza ettiği yüksek tavır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lar ve vaziyetler, hod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furuşluk ve riya sayılmaz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instrText xml:space="preserve"> "riya say›lmaz"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ve sa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yılmamalı –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meğer o adam, o va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zifeyi, kendi enaniyetine tâbi edip istimal ede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.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sz w:val="24"/>
          <w:szCs w:val="24"/>
          <w:lang w:val="tr-TR" w:eastAsia="tr-TR"/>
        </w:rPr>
        <w:t>Evet, bir imam, imamet vazifesinde tesbihatları iz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har eder, ismâ eder hiçbir cihette riya olamaz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instrText xml:space="preserve"> "riya olamaz"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. Fakat va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zife haricinde o tesbi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hatları âşikâre halkla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ra işittir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meye riya gi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rebildiği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instrText xml:space="preserve"> "riya gi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rebildi¤i"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için, gizlisi daha sevablıdır.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sz w:val="24"/>
          <w:szCs w:val="24"/>
          <w:lang w:val="tr-TR" w:eastAsia="tr-TR"/>
        </w:rPr>
        <w:t>Risale-i Nur’un hakikî şakirdleri, neşriyat-ı dini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ye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le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rinde ve ittibâ-ı sünnetteki ibadetlerinde ve içtinab-ı kebâ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irdeki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instrText xml:space="preserve"> "içtinab-› kebâ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irdeki"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takvâla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rında, Kur’ân hesa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bı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na vazifedar sa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yı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lırlar. İnşaallah riya olmaz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instrText xml:space="preserve"> "riya olmaz"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. Meğer ki, Risale-i Nur’a, başka bir maksad-ı dünyeviye için girmiş ola. Daha ya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zı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lacaktı, fa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kat bir tevakkuf hali kesti.» (Kastamonu Lâhikası sh: 184)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Riya hissini görüp izale etmek</w: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"Riya hissini görüp izale etmek" </w:instrTex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: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29-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«Hem on dakika zarfında, büyük bir müca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hede-i mânev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îde, b</w:t>
      </w:r>
      <w:r w:rsidR="001958AD">
        <w:rPr>
          <w:rFonts w:eastAsia="Times New Roman" w:cstheme="minorHAnsi"/>
          <w:sz w:val="24"/>
          <w:szCs w:val="24"/>
          <w:lang w:val="tr-TR" w:eastAsia="tr-TR"/>
        </w:rPr>
        <w:t>e</w:t>
      </w:r>
      <w:r w:rsidR="001958AD">
        <w:rPr>
          <w:rFonts w:eastAsia="Times New Roman" w:cstheme="minorHAnsi"/>
          <w:sz w:val="24"/>
          <w:szCs w:val="24"/>
          <w:lang w:val="tr-TR" w:eastAsia="tr-TR"/>
        </w:rPr>
        <w:softHyphen/>
        <w:t>nim cephemde, kırk ikilik bir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top gibi düş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manlarıma atıp yol açtığı halde, o iki nefs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noBreakHyphen/>
        <w:t>i emmâ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renin, muvakkat bir gaflet fırsatında, hodgâmlık ve meyl-i te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fevvuk gibi gayet zulümlü ve zulümatlı his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siyle, büyük bir şükür ve teşek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kür yerine, “Niçin ben atma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dım?” diye, en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çirkin bir riya ve re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kabet da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marı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"riya ve rekabet da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mar›"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nı hissettim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. Cenab-ı Hakka yüz bin şükür edi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yorum ki, Risale-i Nur ve bil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hassa İhlâs Risaleleri, o iki nefsin bütün desâisini izale ve onların aç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tığı yaraları tedavi ettiği gibi, o bir dakika ve on dakikadaki hâletleri birden izale etti. Ve mânevî bir istiğ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far olan kusurumu bildim. O hatânın muaccel cezası olan içindeki elemden ve azaptan kurtul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dum.» (Kastamonu Lâhikası sh: 234)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Şöhret, ihlâsa zıddır</w: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"ﬁöhret, ihlâsa z›dd›r" </w:instrTex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: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30- «Hususan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acib bir riyakârlık olan şöh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retperest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lik</w: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"riyakârl›k olan ﬂöh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retperest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lik" </w:instrTex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 xml:space="preserve"> ve câzibedar bir hodfuruşluk olan</w: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"hodfuruﬂluk olan" </w:instrTex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 xml:space="preserve"> tarihlere şâşaalı </w: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"tarihlere ﬂâﬂaal› " </w:instrTex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geç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mek ve insanlara iyi gö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rün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mek ise, Nurun bir esası ve mesleği olan ihlâsa zıttır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ve münafidir.» (Emirdağ Lâhikası-I sh: 195)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Merdumgirizlik ihlâsa vesile olur: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31-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«Bu zamanda şahsiyet cihetiyle insanlara za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rar verecek haller var. Risale-i Nur’un mesleğindeki âzamî ih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lâs için bu has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ta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lık verilmiş. Çünkü bu za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manda şan, şeref perdesi 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instrText xml:space="preserve"> "ﬂan, ﬂeref perdesi 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altında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riya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kârlık yer al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dı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ğından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"riya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kârl›k yer al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d›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¤›ndan"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, âzamî ihlâs ile bütün bütün enani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yeti terk lâzımdır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.» (Emirdağ Lâhikası-II sh: 201)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32-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«Hattâ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tezahüre bir riyakârlık, bir hod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furuşluk, bir enaniyet mânâsını verip halk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larla görüşmeyi de terk ettiği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ve rahmet-i İlâhînin ihsa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nıyla sesi de kesilmiş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instrText xml:space="preserve"> "sesi de kesilmiﬂ"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ki, dostlarla görüşmeye mec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bur olmasın ve hatır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ları da kırıl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masın.» (Emirdağ Lâhikası-II sh: 237)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Geylanî Hazretlerinin riyakârlığı tedavi eden şid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detli irşadı: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33-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«Fütuhu’l-Gay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instrText xml:space="preserve"> "Fütuhu’l-Gay"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b kitabında “Yâ gulâm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instrText xml:space="preserve"> "gulâm"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!” tâbir et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tiği bir ta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lebesine pek müthiş ameliyat-ı cerrahiye ya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pı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yor. Ben kendimi o gulâm yerine vaz ettim. Fakat pek şiddetli hitap ediyordu: “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Eyyühe’l-münafık,” “Ey di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nini dünyaya satan riyakâr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” diye, diye... Yarısını ancak okuyabildim. Sonra o risaleyi terk ettim. Bir hafta bakamadım. Fakat ameliyat-ı cerrahiyenin ar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kasından bir lezzet geldi işti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yakla o mübarek eseri acı tir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yak gibi veya sulfato gibi iç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tim. Elhamdü lillâh, kaba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hatlerimi anladım, yaralarımı his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settim, gurur bir de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rece kırıldı.” » (Sikke-i Tasdik-i Gaybî sh: 144)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Bediüzzaman Hazretlerinin riyakârlıkdan uzak dur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ması: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34-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«Üstadımız, tekellüf ve taazzumdan asla hoş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lanmaz ve talebeleri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nin dahi tekellüf kaydından âzade ol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malarını emreder. Ve buyururlar ki: “Te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kellüf, şer’an ve hikmeten fenadır, çünkü te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kellüf sevdası, insanı, hadd-i mârufu tecavüze sevk eder.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Mütekellif olan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lar, bazan hodbinane bir te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zahür ve tefâ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hur tavrı ve muvakkat so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ğuk bir riya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kâr vaziyeti takın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mak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tan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"riyakâr vaziyeti tak›n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mak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tan"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 xml:space="preserve"> kurtulmaz. Halbuki bunların ikisi de ihlâsı zede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.”» (Tarihçe-i Hayat sh: 326)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Riyakârlık yalancılıktır</w: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"Riyakârl›k yalanc›l›kt›r" </w:instrTex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: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35-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«Evet sıdk ve doğruluk İslâmiyetin hayat-ı iç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ti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maiyesinde ukde-i hayatiyesidir.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Riyakârlık, fiilî bir nevi yalancılıktır</w: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"Riyakârl›k, fiilî bir nevi yalanc›l›kt›r" </w:instrTex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. Dalkavukluk ve ta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sannu, alçakça bir ya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lancılıktır.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Nifak ve müna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fıklık, mu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zır bir ya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lancı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lıktır.» (Hutbe-i Şâmiye sh: 45)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Riya, sevabı günaha çevirir</w: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"Riya, sevab› günaha çevirir" </w:instrTex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: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36-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«Nazar ile niyet mahiyet-i eşyayı tağyir eder. Günahı se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vaba, se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vabı günaha kalb eder. Evet, niyet âdi bir hareketi ibadete çevirir. Ve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gös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teriş için yapılan bir ibadeti günaha kalbe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der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.» (Mesnevî–i Nuriye sh: 51)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37-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Hayrat ve hasenâtın hayatı niyetledir. Fesadı da ucub, riyâ ve gösteriş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"riyâ ve gösteriﬂ"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ledir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. Ve fıtrî ola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rak vicdanda şu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urla biz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zat hissedilen vicdaniyatın esası, ikinci bir şuur ve niyetle inkıtâ bulur.» (Mesnevî–i Nuriye sh: 201)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Merdumgirizlik ihlâsın muhafazasına vesiledir: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38-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«İnayet-i İlâhiye dahi, hizmet-i imaniyedeki ih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lâsı kır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mamak ve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tasannukârâne hodfuruşluk va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ziyetine girmeye mecbur etmemek ve ziyade hüsn-ü zan edenle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rin karşı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sında beni tekellüf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lere ve gösteriş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lere mecbur etmemek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ve bu za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manda çok tesir eden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şahsıma karşı te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veccüh, mu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habbet ve hizmete zarar veren kendini ma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kam sahibi gös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termek</w: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"kendini ma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kam sahibi göstermek" </w:instrTex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 xml:space="preserve"> vaziyetinden kurtarmak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ve Kur’ândan gelen Risale-i Nur’un el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mas gibi hakikatle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rini bana mâletmekle cam parçalarına indir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memek hikmetle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riyle, Cenab-ı Erhamürrâhimîn bana bu hasta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lığı vermiş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tir.» (Emir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dağ Lâhikası-I sh: 61)</w:t>
      </w:r>
    </w:p>
    <w:p w:rsid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Şöhretli sahalardan kaçmak</w: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"ﬁöhretli sahalardan kaçmak" </w:instrTex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: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 xml:space="preserve">39- 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«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Nur mesleğinde benlik ve gösteriş</w: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"Nur mesle¤inde benlik ve gösteriﬂ" </w:instrTex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 xml:space="preserve"> bir nevi şöh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retperestlik, merdud</w: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"ﬂöh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retperestlik, merdud" </w:instrTex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 xml:space="preserve"> olduğundan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, bu enaniyet zama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nında in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sanlara kendini satmaya çalış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mak ve beğendir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mek, bir anda Nur şakirdleri böyle bü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yük bir imtiyaz gibi bu eserlerle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meşhur mev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kilere kendilerini göstermek</w: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"kendilerini göstermek" </w:instrTex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 xml:space="preserve"> bir nevi göste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riş olması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cihe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tiyle, kader-i İlâhî, Nur şakirdle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rini tam ihlâsın mu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ha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fazası için şimdilik müsaade etmi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yor.» (Emirdağ Lâhikası-I sh: 257)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40-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«Ey fahre meftun,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şöhrete müptelâ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"ﬂöhrete müptelâ"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, medhe düş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kün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, hodbinlikte bîhemtâ, sersem nefsim!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sz w:val="24"/>
          <w:szCs w:val="24"/>
          <w:lang w:val="tr-TR" w:eastAsia="tr-TR"/>
        </w:rPr>
        <w:t>Eğer binler meyve veren incirin menşei olan kü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çü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cük bir çe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kirdeği ve yüz salkım ona takılan üzümün si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yah kurucuk çubuğu, bütün o meyveleri, o salkımları kendi hünerleri olduğu ve onlardan istifade edenler o çu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buğa, o çekirdeğe medih ve hürmet etmek lâ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zım ol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duğu hak bir dâvâ ise, senin dahi sana yüklenen nimet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ler için fahre, gu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rura belki bir hakkın var.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sz w:val="24"/>
          <w:szCs w:val="24"/>
          <w:lang w:val="tr-TR" w:eastAsia="tr-TR"/>
        </w:rPr>
        <w:t>Halbuki sen, daim zemme müstehaksın. Zira o çe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kirdek ve o çubuk gibi değilsin. Senin bir cüz-i ihtiyarın bulunmakla, o nimet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lerin kıymetle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rini fahrinle tenkis edi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yorsun,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gururunla tahrib ediyorsun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ve küfra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nınla ibtal ediyorsun ve temellükle gasp edi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yorsun.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Senin vazifen fahir değil, şükürdür.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Sana lâyık olan şöh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ret değil, te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vazu</w: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"ﬂöh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ret de¤il, tevazu" </w:instrTex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dur, hacâlettir.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Senin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hakkın medih değil, istiğfardır, nedâmet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tir.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Senin kemâlin hodbinlik değil, hüdâ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binliktedir.» (Sözler sh: 230)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41-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«Hem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insanlara kendini bildirmek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bir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şöhretpe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restlik olma-sın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dan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"ﬂöhretpe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restlik olmas›ndan"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, bir enaniyet, bir hod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fü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ruşluk, bir ri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yakârlık ihtimali var. Bu ise, bizim gibi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lere tam zarardır.» (Emirdağ Lâhikası-I sh: 161)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42-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«Risale-i Nur Müellifi, bütün müellif ve mu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harrir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lerin en mütevaziidir.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 xml:space="preserve">Şöhret ve tekebbürün 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"ﬁöhret ve tekebbürün 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en büyük düşmanıdır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. Bütün dünya metâına arka çe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virmiştir. Ne mal, ne şöhret, ne nü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fuz –bunların hiçbi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risi onun pâyine ulaşamamıştır ve ulaşamaz.» (Tarihçe-i Hayat sh: 654)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43-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 xml:space="preserve"> «Cenâb-ı Hak, fazl ve keremiyle, ulûm-u ima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niye ve Kur’âniyeye çalışmak ve fehmetmek faziletini ih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san etmiştir. Bu ihsan-ı İlâhîyi bütün hayatımda, lil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lâ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hil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hamd, tevfik-i İlâhî ile şu millet-i İslâmiyenin men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faa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tine, saadetine sarf ederek, hiçbir vakit vasıta-i ta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hakküm ve tagallüb ol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ma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dığı gibi, ekser ehl-i gafletçe matlup olan 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te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veccüh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noBreakHyphen/>
        <w:t>ü nâs</w: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instrText xml:space="preserve"> "t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>e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veccüh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noBreakHyphen/>
        <w:instrText>ü nâs</w:instrTex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instrText xml:space="preserve">" </w:instrText>
      </w:r>
      <w:r w:rsidR="00A30635" w:rsidRPr="001958A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 xml:space="preserve"> ve hüsn-ü kabul-ü halk dahi, mühim bir sırra binaen benim men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fû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rumdur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t>, on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lardan ka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çıyorum. Yirmi sene eski haya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tımı zayi ettiği için onları ken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dime muzır görüyorum. Fakat Risale-i Nur’u beğenmelerine bir emâre biliyo</w:t>
      </w:r>
      <w:r w:rsidRPr="001958AD">
        <w:rPr>
          <w:rFonts w:eastAsia="Times New Roman" w:cstheme="minorHAnsi"/>
          <w:sz w:val="24"/>
          <w:szCs w:val="24"/>
          <w:lang w:val="tr-TR" w:eastAsia="tr-TR"/>
        </w:rPr>
        <w:softHyphen/>
        <w:t>rum, onları küstürmüyorum.» (Lem’alar sh: 171)</w:t>
      </w:r>
    </w:p>
    <w:p w:rsidR="00770A07" w:rsidRPr="001958AD" w:rsidRDefault="00770A07" w:rsidP="001958A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>Kısmen tesbit edilen mezkûr ders ve ikazlar, riya ve şöhret gibi hissiyat</w: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 riya ve ﬂöhret gibi hissiyat" </w:instrText>
      </w:r>
      <w:r w:rsidR="00A30635" w:rsidRPr="001958A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t xml:space="preserve"> ve hareketlerin terk edilmesinin lüzu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munu açıkça gösteriyor ve Risale-i Nur’da bir esas</w:t>
      </w:r>
      <w:r w:rsidRPr="001958AD">
        <w:rPr>
          <w:rFonts w:eastAsia="Times New Roman" w:cstheme="minorHAnsi"/>
          <w:b/>
          <w:sz w:val="24"/>
          <w:szCs w:val="24"/>
          <w:lang w:val="tr-TR" w:eastAsia="tr-TR"/>
        </w:rPr>
        <w:softHyphen/>
        <w:t>tır.</w:t>
      </w:r>
    </w:p>
    <w:bookmarkEnd w:id="0"/>
    <w:p w:rsidR="00D87CCA" w:rsidRPr="001958AD" w:rsidRDefault="00D87CCA" w:rsidP="001958AD">
      <w:pPr>
        <w:spacing w:before="120" w:after="0" w:line="240" w:lineRule="auto"/>
        <w:rPr>
          <w:rFonts w:cstheme="minorHAnsi"/>
          <w:sz w:val="24"/>
          <w:szCs w:val="24"/>
          <w:lang w:val="tr-TR"/>
        </w:rPr>
      </w:pPr>
    </w:p>
    <w:sectPr w:rsidR="00D87CCA" w:rsidRPr="001958AD" w:rsidSect="00A3063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C55" w:rsidRDefault="00D17C55" w:rsidP="00770A07">
      <w:pPr>
        <w:spacing w:after="0" w:line="240" w:lineRule="auto"/>
      </w:pPr>
      <w:r>
        <w:separator/>
      </w:r>
    </w:p>
  </w:endnote>
  <w:endnote w:type="continuationSeparator" w:id="0">
    <w:p w:rsidR="00D17C55" w:rsidRDefault="00D17C55" w:rsidP="0077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C55" w:rsidRDefault="00D17C55" w:rsidP="00770A07">
      <w:pPr>
        <w:spacing w:after="0" w:line="240" w:lineRule="auto"/>
      </w:pPr>
      <w:r>
        <w:separator/>
      </w:r>
    </w:p>
  </w:footnote>
  <w:footnote w:type="continuationSeparator" w:id="0">
    <w:p w:rsidR="00D17C55" w:rsidRDefault="00D17C55" w:rsidP="00770A07">
      <w:pPr>
        <w:spacing w:after="0" w:line="240" w:lineRule="auto"/>
      </w:pPr>
      <w:r>
        <w:continuationSeparator/>
      </w:r>
    </w:p>
  </w:footnote>
  <w:footnote w:id="1">
    <w:p w:rsidR="00770A07" w:rsidRPr="001958AD" w:rsidRDefault="00770A07" w:rsidP="001958AD">
      <w:pPr>
        <w:pStyle w:val="dipnot"/>
        <w:rPr>
          <w:rFonts w:asciiTheme="minorHAnsi" w:hAnsiTheme="minorHAnsi" w:cstheme="minorHAnsi"/>
          <w:sz w:val="24"/>
          <w:szCs w:val="24"/>
        </w:rPr>
      </w:pPr>
      <w:r w:rsidRPr="001958AD">
        <w:rPr>
          <w:rStyle w:val="DipnotBavurusu"/>
          <w:rFonts w:asciiTheme="minorHAnsi" w:hAnsiTheme="minorHAnsi" w:cstheme="minorHAnsi"/>
          <w:sz w:val="24"/>
          <w:szCs w:val="24"/>
        </w:rPr>
        <w:footnoteRef/>
      </w:r>
      <w:r w:rsidRPr="001958AD">
        <w:rPr>
          <w:rFonts w:asciiTheme="minorHAnsi" w:hAnsiTheme="minorHAnsi" w:cstheme="minorHAnsi"/>
          <w:sz w:val="24"/>
          <w:szCs w:val="24"/>
        </w:rPr>
        <w:t xml:space="preserve"> Buhari, Cihad: 182, Meğâzî: 38, Ka</w:t>
      </w:r>
      <w:r w:rsidRPr="001958AD">
        <w:rPr>
          <w:rFonts w:asciiTheme="minorHAnsi" w:hAnsiTheme="minorHAnsi" w:cstheme="minorHAnsi"/>
          <w:sz w:val="24"/>
          <w:szCs w:val="24"/>
        </w:rPr>
        <w:softHyphen/>
        <w:t>der: 5; Müslim, İmân: 178; İbn-i Mâce, Fiten: 35; Dârimî, Siyer: 73; Müsned, 2:309, 5:45.)</w:t>
      </w:r>
    </w:p>
  </w:footnote>
  <w:footnote w:id="2">
    <w:p w:rsidR="00770A07" w:rsidRPr="001958AD" w:rsidRDefault="00770A07" w:rsidP="001958AD">
      <w:pPr>
        <w:pStyle w:val="dipnot"/>
        <w:rPr>
          <w:rFonts w:asciiTheme="minorHAnsi" w:hAnsiTheme="minorHAnsi" w:cstheme="minorHAnsi"/>
          <w:sz w:val="24"/>
          <w:szCs w:val="24"/>
        </w:rPr>
      </w:pPr>
      <w:r w:rsidRPr="001958AD">
        <w:rPr>
          <w:rStyle w:val="DipnotBavurusu"/>
          <w:rFonts w:asciiTheme="minorHAnsi" w:hAnsiTheme="minorHAnsi" w:cstheme="minorHAnsi"/>
          <w:sz w:val="24"/>
          <w:szCs w:val="24"/>
        </w:rPr>
        <w:footnoteRef/>
      </w:r>
      <w:r w:rsidRPr="001958AD">
        <w:rPr>
          <w:rFonts w:asciiTheme="minorHAnsi" w:hAnsiTheme="minorHAnsi" w:cstheme="minorHAnsi"/>
          <w:sz w:val="24"/>
          <w:szCs w:val="24"/>
        </w:rPr>
        <w:t>Furkan Sûresi, 25:43.</w:t>
      </w:r>
    </w:p>
  </w:footnote>
  <w:footnote w:id="3">
    <w:p w:rsidR="00770A07" w:rsidRPr="001958AD" w:rsidRDefault="00770A07" w:rsidP="001958AD">
      <w:pPr>
        <w:pStyle w:val="dipnot"/>
        <w:rPr>
          <w:rFonts w:asciiTheme="minorHAnsi" w:hAnsiTheme="minorHAnsi" w:cstheme="minorHAnsi"/>
          <w:sz w:val="24"/>
          <w:szCs w:val="24"/>
        </w:rPr>
      </w:pPr>
      <w:r w:rsidRPr="001958AD">
        <w:rPr>
          <w:rStyle w:val="DipnotBavurusu"/>
          <w:rFonts w:asciiTheme="minorHAnsi" w:hAnsiTheme="minorHAnsi" w:cstheme="minorHAnsi"/>
          <w:sz w:val="24"/>
          <w:szCs w:val="24"/>
        </w:rPr>
        <w:footnoteRef/>
      </w:r>
      <w:r w:rsidRPr="001958AD">
        <w:rPr>
          <w:rFonts w:asciiTheme="minorHAnsi" w:hAnsiTheme="minorHAnsi" w:cstheme="minorHAnsi"/>
          <w:sz w:val="24"/>
          <w:szCs w:val="24"/>
        </w:rPr>
        <w:t>  Bakara Sûresi, 2:156.</w:t>
      </w:r>
    </w:p>
  </w:footnote>
  <w:footnote w:id="4">
    <w:p w:rsidR="00770A07" w:rsidRPr="001958AD" w:rsidRDefault="00770A07" w:rsidP="001958AD">
      <w:pPr>
        <w:pStyle w:val="dipnot"/>
        <w:rPr>
          <w:rFonts w:asciiTheme="minorHAnsi" w:hAnsiTheme="minorHAnsi" w:cstheme="minorHAnsi"/>
          <w:sz w:val="24"/>
          <w:szCs w:val="24"/>
        </w:rPr>
      </w:pPr>
      <w:r w:rsidRPr="001958AD">
        <w:rPr>
          <w:rStyle w:val="DipnotBavurusu"/>
          <w:rFonts w:asciiTheme="minorHAnsi" w:hAnsiTheme="minorHAnsi" w:cstheme="minorHAnsi"/>
          <w:sz w:val="24"/>
          <w:szCs w:val="24"/>
        </w:rPr>
        <w:footnoteRef/>
      </w:r>
      <w:r w:rsidRPr="001958AD">
        <w:rPr>
          <w:rFonts w:asciiTheme="minorHAnsi" w:hAnsiTheme="minorHAnsi" w:cstheme="minorHAnsi"/>
          <w:sz w:val="24"/>
          <w:szCs w:val="24"/>
        </w:rPr>
        <w:t>  Bakara Sûresi, 2:156.9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A07"/>
    <w:rsid w:val="001958AD"/>
    <w:rsid w:val="002F4E90"/>
    <w:rsid w:val="003F29E8"/>
    <w:rsid w:val="00416490"/>
    <w:rsid w:val="00603CCF"/>
    <w:rsid w:val="007148A4"/>
    <w:rsid w:val="00770A07"/>
    <w:rsid w:val="00860385"/>
    <w:rsid w:val="00A12CEA"/>
    <w:rsid w:val="00A30635"/>
    <w:rsid w:val="00D17C55"/>
    <w:rsid w:val="00D8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67A0"/>
  <w15:docId w15:val="{6307CADE-D75F-4918-A982-898E3AD9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6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770A07"/>
    <w:rPr>
      <w:rFonts w:ascii="Times New Roman" w:hAnsi="Times New Roman"/>
      <w:dstrike w:val="0"/>
      <w:position w:val="6"/>
      <w:sz w:val="16"/>
      <w:szCs w:val="20"/>
      <w:vertAlign w:val="baseline"/>
    </w:rPr>
  </w:style>
  <w:style w:type="paragraph" w:customStyle="1" w:styleId="dipnot">
    <w:name w:val="dipnot"/>
    <w:basedOn w:val="Normal"/>
    <w:rsid w:val="00770A07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tr-TR"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958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1958A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3844</Words>
  <Characters>21916</Characters>
  <Application>Microsoft Office Word</Application>
  <DocSecurity>0</DocSecurity>
  <Lines>182</Lines>
  <Paragraphs>51</Paragraphs>
  <ScaleCrop>false</ScaleCrop>
  <Company>Toshiba</Company>
  <LinksUpToDate>false</LinksUpToDate>
  <CharactersWithSpaces>25709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Erkay</dc:creator>
  <cp:lastModifiedBy>Burak Sezgin</cp:lastModifiedBy>
  <cp:revision>7</cp:revision>
  <dcterms:created xsi:type="dcterms:W3CDTF">2020-01-09T16:41:00Z</dcterms:created>
  <dcterms:modified xsi:type="dcterms:W3CDTF">2020-03-19T12:31:00Z</dcterms:modified>
</cp:coreProperties>
</file>